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4"/>
        </w:rPr>
        <w:t>MiraeBiz School Club Governance Transparency Audit</w:t>
      </w:r>
    </w:p>
    <w:p>
      <w:pPr>
        <w:spacing w:after="160"/>
        <w:jc w:val="center"/>
      </w:pPr>
      <w:r>
        <w:rPr>
          <w:rFonts w:ascii="Aptos" w:hAnsi="Aptos"/>
          <w:color w:val="000000"/>
          <w:sz w:val="19"/>
        </w:rPr>
        <w:t>Transparency checklist for clubs, councils, service organizations, honor societies, and student teams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328"/>
        <w:gridCol w:w="1440"/>
        <w:gridCol w:w="5328"/>
      </w:tblGrid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Organization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SASBEA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Academic year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2026–2027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Reviewer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MiraeBiz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 date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October 16, 2026</w:t>
            </w:r>
          </w:p>
        </w:tc>
      </w:tr>
    </w:tbl>
    <w:p>
      <w:pPr>
        <w:spacing w:before="140" w:after="140" w:line="240" w:lineRule="auto"/>
      </w:pPr>
      <w:r>
        <w:rPr>
          <w:rFonts w:ascii="Aptos" w:hAnsi="Aptos"/>
          <w:color w:val="000000"/>
          <w:sz w:val="17"/>
        </w:rPr>
        <w:t>Select one score for each criterion.  0 = not in place; 1 = informal or inconsistent; 2 = documented and usually followed; 3 = documented, accessible, and consistently applied. Record the source or evidence in the notes section.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8"/>
        <w:gridCol w:w="8208"/>
        <w:gridCol w:w="1036"/>
        <w:gridCol w:w="1036"/>
        <w:gridCol w:w="1036"/>
        <w:gridCol w:w="1036"/>
      </w:tblGrid>
      <w:tr>
        <w:trPr>
          <w:tblHeader w:val="true"/>
        </w:trPr>
        <w:tc>
          <w:tcPr>
            <w:tcW w:type="dxa" w:w="2189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Domain</w:t>
            </w:r>
          </w:p>
        </w:tc>
        <w:tc>
          <w:tcPr>
            <w:tcW w:type="dxa" w:w="8208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Criterion</w:t>
            </w:r>
          </w:p>
        </w:tc>
        <w:tc>
          <w:tcPr>
            <w:tcW w:type="dxa" w:w="4148"/>
            <w:gridSpan w:val="4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Select one score</w:t>
            </w:r>
          </w:p>
        </w:tc>
      </w:tr>
      <w:tr>
        <w:trPr>
          <w:tblHeader w:val="true"/>
        </w:trPr>
        <w:tc>
          <w:tcPr>
            <w:tcW w:type="dxa" w:w="2189"/>
            <w:vMerge/>
          </w:tcPr>
          <w:p/>
        </w:tc>
        <w:tc>
          <w:tcPr>
            <w:tcW w:type="dxa" w:w="8208"/>
            <w:vMerge/>
          </w:tcPr>
          <w:p/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0</w:t>
              <w:br/>
              <w:t>Not in place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1</w:t>
              <w:br/>
              <w:t>Basic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2</w:t>
              <w:br/>
              <w:t>Established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3</w:t>
              <w:br/>
              <w:t>Strong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A  Structure and Documentation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1. The organization has a written mission or purpose available to members.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2. Leadership positions and responsibilities are clearly defined.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3. The authority of student leaders, members, faculty advisors, and administrators is clear.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4. The organization maintains current rules, bylaws, or operating procedures.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5. Members know where to find the organization's governing information.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B  Leadership Selection and Access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6. Leadership openings, eligibility requirements, and deadlines are announced openly.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7. Selection or election criteria are communicated before students apply or vote.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8. Candidates are evaluated through a consistent process, such as a rubric or standard questions.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9. More than one person participates in or verifies leadership-selection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10. Conflicts of interest are disclosed and managed during 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11. Members have visible pathways to gain experience and prepare for leadership.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  Decision Making Transparency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12. The organization has a clear process for making major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13. Members are informed promptly about decisions that directly affect them.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14. Important decisions are accompanied by an understandable explanation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15. Criteria are announced before limited opportunities, funding, travel, or roles are allocated.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16. Important meetings, decisions, and assigned responsibilities are recorded.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  Member Voice and Accountability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17. Members have a clear way to submit suggestions, questions, or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18. A confidential or anonymous reporting option is available for sensitive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19. The organization has a consistent process for reviewing and responding to feedback.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20. Members can request review of significant procedural decisions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21. There is a process for addressing leaders who do not fulfill responsibilities or misuse authority.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  Continuity and Improvement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22. Incoming leaders receive a structured handover or training process.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23. Important records and documents are stored for future leadership teams.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24. The organization collects structured feedback from members at least once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25. The organization reviews its governance procedures and records improvements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☐</w:t>
            </w:r>
          </w:p>
        </w:tc>
      </w:tr>
    </w:tbl>
    <w:p>
      <w:r>
        <w:rPr>
          <w:color w:val="000000"/>
        </w:rPr>
      </w:r>
    </w:p>
    <w:p>
      <w:pPr>
        <w:pStyle w:val="Heading1"/>
        <w:keepNext/>
        <w:spacing w:after="120"/>
      </w:pPr>
      <w:r>
        <w:rPr>
          <w:rFonts w:ascii="Aptos Display" w:hAnsi="Aptos Display"/>
          <w:b/>
          <w:color w:val="000000"/>
          <w:sz w:val="32"/>
        </w:rPr>
        <w:t>Score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015"/>
        <w:gridCol w:w="2015"/>
      </w:tblGrid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Domain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Score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Maximum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A  Structure and Documentation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B  Leadership Selection and Access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18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C  Decision Making Transparency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D  Member Voice and Accountability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E  Continuity and Improvement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12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Total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rial" w:hAnsi="Arial"/>
                <w:b/>
                <w:color w:val="000000"/>
                <w:sz w:val="15"/>
              </w:rPr>
              <w:t>32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75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7632"/>
      </w:tblGrid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Score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Meaning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60–75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Strong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Practices are documented, accessible, and consistently applied.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45–59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Established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Core practices exist, with several gaps in access or consistency.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30–44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Developing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Some practices exist, but many remain informal or incomplete.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0–29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Limited evidence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Few governance practices can be verified through accessible evidence.</w:t>
            </w:r>
          </w:p>
        </w:tc>
      </w:tr>
    </w:tbl>
    <w:p>
      <w:pPr>
        <w:spacing w:before="140" w:after="160"/>
      </w:pPr>
      <w:r>
        <w:rPr>
          <w:i/>
          <w:color w:val="000000"/>
          <w:sz w:val="17"/>
        </w:rPr>
        <w:t>Interpretation: The score measures the transparency and consistency of governance procedures. It does not determine whether an organization or its leaders are good or bad.</w:t>
      </w:r>
    </w:p>
    <w:p>
      <w:pPr>
        <w:keepNext/>
        <w:spacing w:before="160" w:after="80"/>
      </w:pPr>
      <w:r>
        <w:rPr>
          <w:b/>
          <w:color w:val="000000"/>
          <w:sz w:val="24"/>
        </w:rPr>
        <w:t>Overall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9792"/>
      </w:tblGrid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Overall assessment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sz w:val="16"/>
              </w:rPr>
              <w:t>Developing (32/75). SASBEA has several functioning practices, but many governance procedures remain informal or undocumented.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Strongest practices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sz w:val="16"/>
              </w:rPr>
              <w:t>Anonymous and direct feedback; annual surveys; member communication; shadow-officer training; shared digital records.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Priority gaps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sz w:val="16"/>
              </w:rPr>
              <w:t>Inaccessible governing documents; no published selection rubric or conflict-of-interest process; inconsistent decision records.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Recommended next step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sz w:val="16"/>
              </w:rPr>
              <w:t>Publish a short governance guide and standardize leadership selection and meeting records.</w:t>
            </w:r>
          </w:p>
        </w:tc>
      </w:tr>
    </w:tbl>
    <w:p>
      <w:pPr>
        <w:spacing w:after="60"/>
      </w:pPr>
      <w:r>
        <w:rPr>
          <w:sz w:val="16"/>
        </w:rPr>
        <w:t>SASBEA offers accessible feedback and annual surveys, but several practices remain informal. The first improvement cycle should publish procedures and standardize selection and decision records.</w:t>
      </w:r>
    </w:p>
    <w:p>
      <w:pPr>
        <w:keepNext/>
        <w:spacing w:before="100" w:after="80"/>
      </w:pPr>
      <w:r>
        <w:rPr>
          <w:b/>
          <w:color w:val="000000"/>
          <w:sz w:val="24"/>
        </w:rPr>
        <w:t>Evidence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608"/>
        <w:gridCol w:w="6480"/>
      </w:tblGrid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Item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Evidence reviewed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Finding or note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A1–A5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Written mission; officer and advisor practice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The mission exists but is not readily accessible. Five officer positions exist, but role-specific responsibilities and governing procedures are not formally available to members.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B6–B11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Group-chat announcements; officer applications; current selection practice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Openings are announced and applicants complete comprehensive applications. Applications signal valued qualities, but SASBEA has no published rubric or conflict-of-interest procedure. Shadow roles are planned.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C12–C16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 meetings; faculty-advisor approval; member announcements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Officers make program decisions and the advisor approves meeting logistics. Decisions are announced, but explanations, allocation criteria, and formal decision records were not consistently verified.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D17–D21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Anonymous suggestion form; direct messages; in-person feedback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Members have strong access to anonymous and direct feedback. Reviews and responses occur informally, including requests to reconsider decisions and discussions with officers who do not fulfill responsibilities.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E22–E25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Shadow-officer process; Office 365; officer group chats; annual feedback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Incoming leaders learn through shadowing. Records are retained digitally and feedback is collected throughout the year, but annual governance reviews have not produced consistently recorded improvements.</w:t>
            </w:r>
          </w:p>
        </w:tc>
      </w:tr>
    </w:tbl>
    <w:p>
      <w:pPr>
        <w:keepNext/>
        <w:spacing w:before="160" w:after="80"/>
      </w:pPr>
      <w:r>
        <w:rPr>
          <w:b/>
          <w:color w:val="000000"/>
          <w:sz w:val="24"/>
        </w:rPr>
        <w:t>Priority 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3528"/>
        <w:gridCol w:w="3528"/>
        <w:gridCol w:w="2232"/>
        <w:gridCol w:w="2232"/>
      </w:tblGrid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Governance gap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Planned action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Responsible person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Target date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Governing information is not accessible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Create and publish a one-page SASBEA governance guide with the mission, officer roles, decision authority, and feedback process.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Current officers and faculty advisor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End of Semester 1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Leadership selection lacks a clear rubric and conflict-of-interest process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Create a standard application rubric, publish criteria before applications, and require selectors to disclose relevant conflicts.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 selection team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Before next selection cycle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Decisions and annual improvements are not consistently recorded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Use a short meeting-minutes template and maintain an annual governance change log in Office 365.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Secretary or designated officer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January 2027</w:t>
            </w:r>
          </w:p>
        </w:tc>
      </w:tr>
    </w:tbl>
    <w:p>
      <w:pPr>
        <w:spacing w:before="160" w:after="0"/>
      </w:pPr>
      <w:r>
        <w:rPr>
          <w:rFonts w:ascii="Arial" w:hAnsi="Arial"/>
          <w:color w:val="000000"/>
          <w:sz w:val="18"/>
        </w:rPr>
        <w:t>Follow-up review date: February 2027     Reviewer: MiraeBiz     New score: ______ / 75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MiraeBiz School Club Governance Transparency Audit  |  SASBEA Completed Audit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MiraeBiz SASBEA Governance Transparency Audit</dc:title>
  <dc:subject>Completed school club governance transparency audit for SASBEA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