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Aptos Display" w:hAnsi="Aptos Display"/>
          <w:b/>
          <w:color w:val="000000"/>
          <w:sz w:val="44"/>
        </w:rPr>
        <w:t>MiraeBiz School Club Governance Transparency Audit</w:t>
      </w:r>
    </w:p>
    <w:p>
      <w:pPr>
        <w:spacing w:after="160"/>
        <w:jc w:val="center"/>
      </w:pPr>
      <w:r>
        <w:rPr>
          <w:rFonts w:ascii="Aptos" w:hAnsi="Aptos"/>
          <w:color w:val="000000"/>
          <w:sz w:val="19"/>
        </w:rPr>
        <w:t>Transparency checklist for clubs, councils, service organizations, honor societies, and student teams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5328"/>
        <w:gridCol w:w="1440"/>
        <w:gridCol w:w="5328"/>
      </w:tblGrid>
      <w:tr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</w:rPr>
            </w:r>
            <w:r>
              <w:rPr>
                <w:rFonts w:ascii="Aptos" w:hAnsi="Aptos"/>
                <w:b/>
                <w:color w:val="000000"/>
                <w:sz w:val="17"/>
              </w:rPr>
              <w:t>Organization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Helping Hand</w:t>
            </w:r>
          </w:p>
        </w:tc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</w:rPr>
            </w:r>
            <w:r>
              <w:rPr>
                <w:rFonts w:ascii="Aptos" w:hAnsi="Aptos"/>
                <w:b/>
                <w:color w:val="000000"/>
                <w:sz w:val="17"/>
              </w:rPr>
              <w:t>Academic year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2026-2027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</w:rPr>
            </w:r>
            <w:r>
              <w:rPr>
                <w:rFonts w:ascii="Aptos" w:hAnsi="Aptos"/>
                <w:b/>
                <w:color w:val="000000"/>
                <w:sz w:val="17"/>
              </w:rPr>
              <w:t>Reviewer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MiraeBiz</w:t>
            </w:r>
          </w:p>
        </w:tc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</w:rPr>
            </w:r>
            <w:r>
              <w:rPr>
                <w:rFonts w:ascii="Aptos" w:hAnsi="Aptos"/>
                <w:b/>
                <w:color w:val="000000"/>
                <w:sz w:val="17"/>
              </w:rPr>
              <w:t>Review date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October 28, 2026</w:t>
            </w:r>
          </w:p>
        </w:tc>
      </w:tr>
    </w:tbl>
    <w:p>
      <w:pPr>
        <w:spacing w:before="140" w:after="140" w:line="240" w:lineRule="auto"/>
      </w:pPr>
      <w:r>
        <w:rPr>
          <w:rFonts w:ascii="Aptos" w:hAnsi="Aptos"/>
          <w:color w:val="000000"/>
          <w:sz w:val="17"/>
        </w:rPr>
        <w:t>Select one score for each criterion.  0 = not in place; 1 = informal or inconsistent; 2 = documented and usually followed; 3 = documented, accessible, and consistently applied. Record the source or evidence in the notes section.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88"/>
        <w:gridCol w:w="8208"/>
        <w:gridCol w:w="1036"/>
        <w:gridCol w:w="1036"/>
        <w:gridCol w:w="1036"/>
        <w:gridCol w:w="1036"/>
      </w:tblGrid>
      <w:tr>
        <w:trPr>
          <w:tblHeader w:val="true"/>
        </w:trPr>
        <w:tc>
          <w:tcPr>
            <w:tcW w:type="dxa" w:w="2189"/>
            <w:vMerge w:val="restart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Domain</w:t>
            </w:r>
          </w:p>
        </w:tc>
        <w:tc>
          <w:tcPr>
            <w:tcW w:type="dxa" w:w="8208"/>
            <w:vMerge w:val="restart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Criterion</w:t>
            </w:r>
          </w:p>
        </w:tc>
        <w:tc>
          <w:tcPr>
            <w:tcW w:type="dxa" w:w="4148"/>
            <w:gridSpan w:val="4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Select one score</w:t>
            </w:r>
          </w:p>
        </w:tc>
      </w:tr>
      <w:tr>
        <w:trPr>
          <w:tblHeader w:val="true"/>
        </w:trPr>
        <w:tc>
          <w:tcPr>
            <w:tcW w:type="dxa" w:w="2189"/>
            <w:vMerge/>
          </w:tcPr>
          <w:p/>
        </w:tc>
        <w:tc>
          <w:tcPr>
            <w:tcW w:type="dxa" w:w="8208"/>
            <w:vMerge/>
          </w:tcPr>
          <w:p/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0</w:t>
              <w:br/>
              <w:t>Not in place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1</w:t>
              <w:br/>
              <w:t>Basic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2</w:t>
              <w:br/>
              <w:t>Established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3</w:t>
              <w:br/>
              <w:t>Strong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A  Structure and Documentation</w:t>
            </w:r>
          </w:p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1. The organization has a written mission or purpose available to members.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2. Leadership positions and responsibilities are clearly defined.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3. The authority of student leaders, members, faculty advisors, and administrators is clear.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4. The organization maintains current rules, bylaws, or operating procedures.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5. Members know where to find the organization's governing information.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B  Leadership Selection and Access</w:t>
            </w:r>
          </w:p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6. Leadership openings, eligibility requirements, and deadlines are announced openly.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7. Selection or election criteria are communicated before students apply or vote.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8. Candidates are evaluated through a consistent process, such as a rubric or standard questions.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9. More than one person participates in or verifies leadership-selection decisions.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10. Conflicts of interest are disclosed and managed during selection decisions.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11. Members have visible pathways to gain experience and prepare for leadership.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C  Decision Making Transparency</w:t>
            </w:r>
          </w:p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12. The organization has a clear process for making major decisions.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13. Members are informed promptly about decisions that directly affect them.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14. Important decisions are accompanied by an understandable explanation when appropriate.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15. Criteria are announced before limited opportunities, funding, travel, or roles are allocated.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16. Important meetings, decisions, and assigned responsibilities are recorded.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D  Member Voice and Accountability</w:t>
            </w:r>
          </w:p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17. Members have a clear way to submit suggestions, questions, or concerns.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18. A confidential or anonymous reporting option is available for sensitive concerns.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19. The organization has a consistent process for reviewing and responding to feedback.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20. Members can request review of significant procedural decisions when appropriate.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21. There is a process for addressing leaders who do not fulfill responsibilities or misuse authority.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vMerge w:val="restart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E  Continuity and Improvement</w:t>
            </w:r>
          </w:p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22. Incoming leaders receive a structured handover or training process.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23. Important records and documents are stored for future leadership teams.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☒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24. The organization collects structured feedback from members at least once each year.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☐</w:t>
            </w:r>
          </w:p>
        </w:tc>
      </w:tr>
      <w:tr>
        <w:trPr>
          <w:cantSplit/>
        </w:trPr>
        <w:tc>
          <w:tcPr>
            <w:tcW w:type="dxa" w:w="21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vMerge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8208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25. The organization reviews its governance procedures and records improvements each year.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☒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037"/>
            <w:vAlign w:val="center"/>
            <w:tcMar>
              <w:top w:w="28" w:type="dxa"/>
              <w:start w:w="45" w:type="dxa"/>
              <w:bottom w:w="28" w:type="dxa"/>
              <w:end w:w="45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☐</w:t>
            </w:r>
          </w:p>
        </w:tc>
      </w:tr>
    </w:tbl>
    <w:p>
      <w:r>
        <w:rPr>
          <w:color w:val="000000"/>
        </w:rPr>
      </w:r>
    </w:p>
    <w:p>
      <w:pPr>
        <w:pStyle w:val="Heading1"/>
        <w:keepNext/>
        <w:spacing w:after="120"/>
      </w:pPr>
      <w:r>
        <w:rPr>
          <w:rFonts w:ascii="Aptos Display" w:hAnsi="Aptos Display"/>
          <w:b/>
          <w:color w:val="000000"/>
          <w:sz w:val="32"/>
        </w:rPr>
        <w:t>Score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2"/>
        <w:gridCol w:w="2015"/>
        <w:gridCol w:w="2015"/>
      </w:tblGrid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/>
                <w:color w:val="000000"/>
                <w:sz w:val="15"/>
              </w:rPr>
              <w:t>Domain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/>
                <w:color w:val="000000"/>
                <w:sz w:val="15"/>
              </w:rPr>
              <w:t>Score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/>
                <w:color w:val="000000"/>
                <w:sz w:val="15"/>
              </w:rPr>
              <w:t>Maximum</w:t>
            </w:r>
          </w:p>
        </w:tc>
      </w:tr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A  Structure and Documentation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15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15</w:t>
            </w:r>
          </w:p>
        </w:tc>
      </w:tr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B  Leadership Selection and Access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18</w:t>
            </w:r>
          </w:p>
        </w:tc>
      </w:tr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C  Decision Making Transparency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15</w:t>
            </w:r>
          </w:p>
        </w:tc>
      </w:tr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D  Member Voice and Accountability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15</w:t>
            </w:r>
          </w:p>
        </w:tc>
      </w:tr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E  Continuity and Improvement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 w:val="0"/>
                <w:color w:val="000000"/>
                <w:sz w:val="15"/>
              </w:rPr>
              <w:t>12</w:t>
            </w:r>
          </w:p>
        </w:tc>
      </w:tr>
      <w:tr>
        <w:trPr>
          <w:cantSplit/>
        </w:trPr>
        <w:tc>
          <w:tcPr>
            <w:tcW w:type="dxa" w:w="8352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/>
                <w:color w:val="000000"/>
                <w:sz w:val="15"/>
              </w:rPr>
              <w:t>Total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jc w:val="center"/>
            </w:pPr>
            <w:r>
              <w:t>50</w:t>
            </w:r>
          </w:p>
        </w:tc>
        <w:tc>
          <w:tcPr>
            <w:tcW w:type="dxa" w:w="2016"/>
            <w:vAlign w:val="center"/>
            <w:tcMar>
              <w:top w:w="25" w:type="dxa"/>
              <w:start w:w="40" w:type="dxa"/>
              <w:bottom w:w="25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5"/>
              </w:rPr>
            </w:r>
            <w:r>
              <w:rPr>
                <w:rFonts w:ascii="Aptos" w:hAnsi="Aptos"/>
                <w:b/>
                <w:color w:val="000000"/>
                <w:sz w:val="15"/>
              </w:rPr>
              <w:t>75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592"/>
        <w:gridCol w:w="7632"/>
      </w:tblGrid>
      <w:tr>
        <w:trPr>
          <w:cantSplit/>
        </w:trPr>
        <w:tc>
          <w:tcPr>
            <w:tcW w:type="dxa" w:w="216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Score</w:t>
            </w:r>
          </w:p>
        </w:tc>
        <w:tc>
          <w:tcPr>
            <w:tcW w:type="dxa" w:w="259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Level</w:t>
            </w:r>
          </w:p>
        </w:tc>
        <w:tc>
          <w:tcPr>
            <w:tcW w:type="dxa" w:w="76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Meaning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60–75</w:t>
            </w:r>
          </w:p>
        </w:tc>
        <w:tc>
          <w:tcPr>
            <w:tcW w:type="dxa" w:w="259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Strong</w:t>
            </w:r>
          </w:p>
        </w:tc>
        <w:tc>
          <w:tcPr>
            <w:tcW w:type="dxa" w:w="76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Practices are documented, accessible, and consistently applied.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45–59</w:t>
            </w:r>
          </w:p>
        </w:tc>
        <w:tc>
          <w:tcPr>
            <w:tcW w:type="dxa" w:w="259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Established</w:t>
            </w:r>
          </w:p>
        </w:tc>
        <w:tc>
          <w:tcPr>
            <w:tcW w:type="dxa" w:w="76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Core practices exist, with several gaps in access or consistency.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30–44</w:t>
            </w:r>
          </w:p>
        </w:tc>
        <w:tc>
          <w:tcPr>
            <w:tcW w:type="dxa" w:w="259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Developing</w:t>
            </w:r>
          </w:p>
        </w:tc>
        <w:tc>
          <w:tcPr>
            <w:tcW w:type="dxa" w:w="76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Some practices exist, but many remain informal or incomplete.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0–29</w:t>
            </w:r>
          </w:p>
        </w:tc>
        <w:tc>
          <w:tcPr>
            <w:tcW w:type="dxa" w:w="259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Limited evidence</w:t>
            </w:r>
          </w:p>
        </w:tc>
        <w:tc>
          <w:tcPr>
            <w:tcW w:type="dxa" w:w="76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6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 w:val="0"/>
                <w:color w:val="000000"/>
                <w:sz w:val="14"/>
              </w:rPr>
              <w:t>Few governance practices can be verified through accessible evidence.</w:t>
            </w:r>
          </w:p>
        </w:tc>
      </w:tr>
    </w:tbl>
    <w:p>
      <w:pPr>
        <w:spacing w:before="140" w:after="160"/>
      </w:pPr>
      <w:r>
        <w:rPr>
          <w:i/>
          <w:color w:val="000000"/>
          <w:sz w:val="17"/>
        </w:rPr>
        <w:t>Interpretation: The score measures the transparency and consistency of governance procedures. It does not determine whether an organization or its leaders are good or bad.</w:t>
      </w:r>
    </w:p>
    <w:p>
      <w:pPr>
        <w:keepNext/>
        <w:spacing w:before="160" w:after="80"/>
      </w:pPr>
      <w:r>
        <w:rPr>
          <w:b/>
          <w:color w:val="000000"/>
          <w:sz w:val="24"/>
        </w:rPr>
        <w:t>Overall Findings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9792"/>
      </w:tblGrid>
      <w:tr>
        <w:trPr>
          <w:cantSplit/>
        </w:trPr>
        <w:tc>
          <w:tcPr>
            <w:tcW w:type="dxa" w:w="25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6"/>
              </w:rPr>
            </w:r>
            <w:r>
              <w:rPr>
                <w:rFonts w:ascii="Aptos" w:hAnsi="Aptos"/>
                <w:b/>
                <w:color w:val="000000"/>
                <w:sz w:val="16"/>
              </w:rPr>
              <w:t>Overall assessment</w:t>
            </w:r>
          </w:p>
        </w:tc>
        <w:tc>
          <w:tcPr>
            <w:tcW w:type="dxa" w:w="97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Established (50/75). Helping Hand has strong written governance foundations and substantially more accessible documentation than the other clubs reviewed. Several operational accountability procedures still need to be standardized.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6"/>
              </w:rPr>
            </w:r>
            <w:r>
              <w:rPr>
                <w:rFonts w:ascii="Aptos" w:hAnsi="Aptos"/>
                <w:b/>
                <w:color w:val="000000"/>
                <w:sz w:val="16"/>
              </w:rPr>
              <w:t>Strongest practices</w:t>
            </w:r>
          </w:p>
        </w:tc>
        <w:tc>
          <w:tcPr>
            <w:tcW w:type="dxa" w:w="97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Accessible handbook; written mission; clearly documented parent-branch structure; published officers and open leadership positions; defined partnerships and branch responsibilities; strong safeguarding rules and volunteer boundaries.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6"/>
              </w:rPr>
            </w:r>
            <w:r>
              <w:rPr>
                <w:rFonts w:ascii="Aptos" w:hAnsi="Aptos"/>
                <w:b/>
                <w:color w:val="000000"/>
                <w:sz w:val="16"/>
              </w:rPr>
              <w:t>Priority gaps</w:t>
            </w:r>
          </w:p>
        </w:tc>
        <w:tc>
          <w:tcPr>
            <w:tcW w:type="dxa" w:w="97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No standard leadership-selection rubric; limited conflict-of-interest guidance; no permanent anonymous feedback channel; no published appeal process; limited criteria for assigning scarce volunteer spaces; no required annual governance review.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AF3F7"/>
          </w:tcPr>
          <w:p>
            <w:pPr>
              <w:spacing w:before="0" w:after="0" w:line="240" w:lineRule="auto"/>
              <w:jc w:val="left"/>
            </w:pPr>
            <w:r>
              <w:rPr>
                <w:color w:val="000000"/>
                <w:sz w:val="16"/>
              </w:rPr>
            </w:r>
            <w:r>
              <w:rPr>
                <w:rFonts w:ascii="Aptos" w:hAnsi="Aptos"/>
                <w:b/>
                <w:color w:val="000000"/>
                <w:sz w:val="16"/>
              </w:rPr>
              <w:t>Recommended next step</w:t>
            </w:r>
          </w:p>
        </w:tc>
        <w:tc>
          <w:tcPr>
            <w:tcW w:type="dxa" w:w="9792"/>
            <w:vAlign w:val="center"/>
            <w:tcMar>
              <w:top w:w="38" w:type="dxa"/>
              <w:start w:w="50" w:type="dxa"/>
              <w:bottom w:w="38" w:type="dxa"/>
              <w:end w:w="5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Keep the handbook as the governance foundation and add short procedures for leadership selection, volunteer allocation, anonymous reporting, decision review, leadership transition, and annual evaluation.</w:t>
            </w:r>
          </w:p>
        </w:tc>
      </w:tr>
    </w:tbl>
    <w:p>
      <w:pPr>
        <w:keepNext/>
        <w:spacing w:before="100" w:after="80"/>
      </w:pPr>
      <w:r>
        <w:rPr>
          <w:b/>
          <w:color w:val="000000"/>
          <w:sz w:val="24"/>
        </w:rPr>
        <w:t>Evidence and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4608"/>
        <w:gridCol w:w="6480"/>
      </w:tblGrid>
      <w:tr>
        <w:trPr>
          <w:cantSplit/>
        </w:trPr>
        <w:tc>
          <w:tcPr>
            <w:tcW w:type="dxa" w:w="129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Item</w:t>
            </w:r>
          </w:p>
        </w:tc>
        <w:tc>
          <w:tcPr>
            <w:tcW w:type="dxa" w:w="460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Evidence reviewed</w:t>
            </w:r>
          </w:p>
        </w:tc>
        <w:tc>
          <w:tcPr>
            <w:tcW w:type="dxa" w:w="648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4D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Finding or note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/>
                <w:color w:val="000000"/>
                <w:sz w:val="14"/>
              </w:rPr>
              <w:t>A1-A5</w:t>
            </w:r>
          </w:p>
        </w:tc>
        <w:tc>
          <w:tcPr>
            <w:tcW w:type="dxa" w:w="460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Helping Hand Manual; mission; parent organization; school branches; safeguarding rules</w:t>
            </w:r>
          </w:p>
        </w:tc>
        <w:tc>
          <w:tcPr>
            <w:tcW w:type="dxa" w:w="648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The handbook clearly documents the mission, partnerships, parent organization, school branches, volunteer boundaries, safeguarding rules, current officers, and open leadership opportunities.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/>
                <w:color w:val="000000"/>
                <w:sz w:val="14"/>
              </w:rPr>
              <w:t>B6-B11</w:t>
            </w:r>
          </w:p>
        </w:tc>
        <w:tc>
          <w:tcPr>
            <w:tcW w:type="dxa" w:w="460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Open positions; officer applications; volunteer participation; flexible roles</w:t>
            </w:r>
          </w:p>
        </w:tc>
        <w:tc>
          <w:tcPr>
            <w:tcW w:type="dxa" w:w="648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Leadership openings and flexible pathways are visible. Selection can involve multiple officers, but criteria remain broad and no standard rubric or complete conflict-of-interest procedure exists.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/>
                <w:color w:val="000000"/>
                <w:sz w:val="14"/>
              </w:rPr>
              <w:t>C12-C16</w:t>
            </w:r>
          </w:p>
        </w:tc>
        <w:tc>
          <w:tcPr>
            <w:tcW w:type="dxa" w:w="460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Parent-branch responsibilities; event announcements; partnership coordination</w:t>
            </w:r>
          </w:p>
        </w:tc>
        <w:tc>
          <w:tcPr>
            <w:tcW w:type="dxa" w:w="648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Parent and branch responsibilities are documented, and event information is communicated. Explanations, limited-space criteria, and formal decision records are not always published.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/>
                <w:color w:val="000000"/>
                <w:sz w:val="14"/>
              </w:rPr>
              <w:t>D17-D21</w:t>
            </w:r>
          </w:p>
        </w:tc>
        <w:tc>
          <w:tcPr>
            <w:tcW w:type="dxa" w:w="460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Officer contact; safeguarding reporting expectations; direct member concerns</w:t>
            </w:r>
          </w:p>
        </w:tc>
        <w:tc>
          <w:tcPr>
            <w:tcW w:type="dxa" w:w="648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Members can contact officers or supervising adults, and safeguarding concerns must be reported. No permanent anonymous channel, formal appeal option, or written leader-accountability procedure exists.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/>
                <w:color w:val="000000"/>
                <w:sz w:val="14"/>
              </w:rPr>
              <w:t>E22-E25</w:t>
            </w:r>
          </w:p>
        </w:tc>
        <w:tc>
          <w:tcPr>
            <w:tcW w:type="dxa" w:w="460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Manual; safeguarding training; shared documents; officer guidance</w:t>
            </w:r>
          </w:p>
        </w:tc>
        <w:tc>
          <w:tcPr>
            <w:tcW w:type="dxa" w:w="6480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The handbook and shared records preserve substantial knowledge. A required transition packet, annual member survey, and recorded yearly governance review would strengthen continuity.</w:t>
            </w:r>
          </w:p>
        </w:tc>
      </w:tr>
    </w:tbl>
    <w:p>
      <w:pPr>
        <w:keepNext/>
        <w:spacing w:before="160" w:after="80"/>
      </w:pPr>
      <w:r>
        <w:rPr>
          <w:b/>
          <w:color w:val="000000"/>
          <w:sz w:val="24"/>
        </w:rPr>
        <w:t>Priority Improvement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3528"/>
        <w:gridCol w:w="3528"/>
        <w:gridCol w:w="2232"/>
        <w:gridCol w:w="2232"/>
      </w:tblGrid>
      <w:tr>
        <w:trPr>
          <w:cantSplit/>
        </w:trPr>
        <w:tc>
          <w:tcPr>
            <w:tcW w:type="dxa" w:w="93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Priority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Governance gap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Planned action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Responsible person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F6B8A"/>
          </w:tcPr>
          <w:p>
            <w:pPr>
              <w:spacing w:before="0" w:after="0" w:line="240" w:lineRule="auto"/>
              <w:jc w:val="center"/>
            </w:pPr>
            <w:r>
              <w:rPr>
                <w:color w:val="000000"/>
                <w:sz w:val="14"/>
              </w:rPr>
            </w:r>
            <w:r>
              <w:rPr>
                <w:rFonts w:ascii="Aptos" w:hAnsi="Aptos"/>
                <w:b/>
                <w:color w:val="000000"/>
                <w:sz w:val="14"/>
              </w:rPr>
              <w:t>Target date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1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Leadership and limited volunteer opportunities lack standard criteria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Publish a short rubric for leadership applications and a fair process for assigning limited WABC, Special Olympics, and other volunteer spaces.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Parent officers and branch officers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Before next selection cycle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2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Members lack an anonymous feedback and review channel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Create an anonymous form with separate routes for general feedback and safeguarding concerns, plus a written response and escalation process.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Designated officer and supervising adult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End of Semester 1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3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Leadership transition and annual review are not standardized</w:t>
            </w:r>
          </w:p>
        </w:tc>
        <w:tc>
          <w:tcPr>
            <w:tcW w:type="dxa" w:w="3528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Create a branch transition folder containing contacts, event procedures, records, and an annual governance review checklist.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Parent organization and branch leads</w:t>
            </w:r>
          </w:p>
        </w:tc>
        <w:tc>
          <w:tcPr>
            <w:tcW w:type="dxa" w:w="2232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 w:line="240" w:lineRule="auto"/>
            </w:pPr>
            <w:r>
              <w:rPr>
                <w:color w:val="000000"/>
                <w:sz w:val="14"/>
              </w:rPr>
            </w:r>
            <w:r>
              <w:rPr>
                <w:rFonts w:ascii="Arial" w:hAnsi="Arial"/>
                <w:b w:val="0"/>
                <w:color w:val="000000"/>
                <w:sz w:val="14"/>
              </w:rPr>
              <w:t>May 2027</w:t>
            </w:r>
          </w:p>
        </w:tc>
      </w:tr>
    </w:tbl>
    <w:p>
      <w:pPr>
        <w:spacing w:before="160" w:after="0"/>
      </w:pPr>
      <w:r>
        <w:rPr>
          <w:rFonts w:ascii="Arial" w:hAnsi="Arial"/>
          <w:color w:val="000000"/>
          <w:sz w:val="18"/>
        </w:rPr>
        <w:t>Follow-up review date: May 2027     Reviewer: MiraeBiz     New score: ______ / 75</w:t>
      </w:r>
    </w:p>
    <w:sectPr w:rsidR="00FC693F" w:rsidRPr="0006063C" w:rsidSect="00034616">
      <w:footerReference w:type="default" r:id="rId9"/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5"/>
      </w:rPr>
      <w:t>MiraeBiz School Club Governance Transparency Audit  |  Helping Hand Completed Audit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MiraeBiz Helping Hand Governance Transparency Audit</dc:title>
  <dc:subject>Completed school club governance transparency audit for Helping Hand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