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Aptos Display" w:hAnsi="Aptos Display"/>
          <w:b/>
          <w:color w:val="000000"/>
          <w:sz w:val="44"/>
        </w:rPr>
        <w:t>MiraeBiz School Club Governance Transparency Audit</w:t>
      </w:r>
    </w:p>
    <w:p>
      <w:pPr>
        <w:spacing w:after="160"/>
        <w:jc w:val="center"/>
      </w:pPr>
      <w:r>
        <w:rPr>
          <w:rFonts w:ascii="Aptos" w:hAnsi="Aptos"/>
          <w:color w:val="000000"/>
          <w:sz w:val="19"/>
        </w:rPr>
        <w:t>Transparency checklist for clubs, councils, service organizations, honor societies, and student teams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5328"/>
        <w:gridCol w:w="1440"/>
        <w:gridCol w:w="5328"/>
      </w:tblGrid>
      <w:tr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</w:rPr>
            </w:r>
            <w:r>
              <w:rPr>
                <w:rFonts w:ascii="Aptos" w:hAnsi="Aptos"/>
                <w:b/>
                <w:color w:val="000000"/>
                <w:sz w:val="17"/>
              </w:rPr>
              <w:t>Organization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color w:val="00000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Psychology Club</w:t>
            </w:r>
          </w:p>
        </w:tc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</w:rPr>
            </w:r>
            <w:r>
              <w:rPr>
                <w:rFonts w:ascii="Aptos" w:hAnsi="Aptos"/>
                <w:b/>
                <w:color w:val="000000"/>
                <w:sz w:val="17"/>
              </w:rPr>
              <w:t>Academic year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color w:val="00000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2026-2027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</w:rPr>
            </w:r>
            <w:r>
              <w:rPr>
                <w:rFonts w:ascii="Aptos" w:hAnsi="Aptos"/>
                <w:b/>
                <w:color w:val="000000"/>
                <w:sz w:val="17"/>
              </w:rPr>
              <w:t>Reviewer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color w:val="00000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MiraeBiz</w:t>
            </w:r>
          </w:p>
        </w:tc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</w:rPr>
            </w:r>
            <w:r>
              <w:rPr>
                <w:rFonts w:ascii="Aptos" w:hAnsi="Aptos"/>
                <w:b/>
                <w:color w:val="000000"/>
                <w:sz w:val="17"/>
              </w:rPr>
              <w:t>Review date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color w:val="00000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October 24, 2026</w:t>
            </w:r>
          </w:p>
        </w:tc>
      </w:tr>
    </w:tbl>
    <w:p>
      <w:pPr>
        <w:spacing w:before="140" w:after="140" w:line="240" w:lineRule="auto"/>
      </w:pPr>
      <w:r>
        <w:rPr>
          <w:rFonts w:ascii="Aptos" w:hAnsi="Aptos"/>
          <w:color w:val="000000"/>
          <w:sz w:val="17"/>
        </w:rPr>
        <w:t>Select one score for each criterion.  0 = not in place; 1 = informal or inconsistent; 2 = documented and usually followed; 3 = documented, accessible, and consistently applied. Record the source or evidence in the notes section.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88"/>
        <w:gridCol w:w="8208"/>
        <w:gridCol w:w="1036"/>
        <w:gridCol w:w="1036"/>
        <w:gridCol w:w="1036"/>
        <w:gridCol w:w="1036"/>
      </w:tblGrid>
      <w:tr>
        <w:trPr>
          <w:tblHeader w:val="true"/>
        </w:trPr>
        <w:tc>
          <w:tcPr>
            <w:tcW w:type="dxa" w:w="2189"/>
            <w:vMerge w:val="restart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Domain</w:t>
            </w:r>
          </w:p>
        </w:tc>
        <w:tc>
          <w:tcPr>
            <w:tcW w:type="dxa" w:w="8208"/>
            <w:vMerge w:val="restart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Criterion</w:t>
            </w:r>
          </w:p>
        </w:tc>
        <w:tc>
          <w:tcPr>
            <w:tcW w:type="dxa" w:w="4148"/>
            <w:gridSpan w:val="4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Select one score</w:t>
            </w:r>
          </w:p>
        </w:tc>
      </w:tr>
      <w:tr>
        <w:trPr>
          <w:tblHeader w:val="true"/>
        </w:trPr>
        <w:tc>
          <w:tcPr>
            <w:tcW w:type="dxa" w:w="2189"/>
            <w:vMerge/>
          </w:tcPr>
          <w:p/>
        </w:tc>
        <w:tc>
          <w:tcPr>
            <w:tcW w:type="dxa" w:w="8208"/>
            <w:vMerge/>
          </w:tcPr>
          <w:p/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0</w:t>
              <w:br/>
              <w:t>Not in place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1</w:t>
              <w:br/>
              <w:t>Basic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2</w:t>
              <w:br/>
              <w:t>Established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3</w:t>
              <w:br/>
              <w:t>Strong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A  Structure and Documentation</w:t>
            </w:r>
          </w:p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1. The organization has a written mission or purpose available to members.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2. Leadership positions and responsibilities are clearly defined.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3. The authority of student leaders, members, faculty advisors, and administrators is clear.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4. The organization maintains current rules, bylaws, or operating procedures.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5. Members know where to find the organization's governing information.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B  Leadership Selection and Access</w:t>
            </w:r>
          </w:p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6. Leadership openings, eligibility requirements, and deadlines are announced openly.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7. Selection or election criteria are communicated before students apply or vote.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8. Candidates are evaluated through a consistent process, such as a rubric or standard questions.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9. More than one person participates in or verifies leadership-selection decisions.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10. Conflicts of interest are disclosed and managed during selection decisions.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11. Members have visible pathways to gain experience and prepare for leadership.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C  Decision Making Transparency</w:t>
            </w:r>
          </w:p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12. The organization has a clear process for making major decisions.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13. Members are informed promptly about decisions that directly affect them.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14. Important decisions are accompanied by an understandable explanation when appropriate.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15. Criteria are announced before limited opportunities, funding, travel, or roles are allocated.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16. Important meetings, decisions, and assigned responsibilities are recorded.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D  Member Voice and Accountability</w:t>
            </w:r>
          </w:p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17. Members have a clear way to submit suggestions, questions, or concerns.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18. A confidential or anonymous reporting option is available for sensitive concerns.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19. The organization has a consistent process for reviewing and responding to feedback.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20. Members can request review of significant procedural decisions when appropriate.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21. There is a process for addressing leaders who do not fulfill responsibilities or misuse authority.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E  Continuity and Improvement</w:t>
            </w:r>
          </w:p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22. Incoming leaders receive a structured handover or training process.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23. Important records and documents are stored for future leadership teams.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24. The organization collects structured feedback from members at least once each year.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25. The organization reviews its governance procedures and records improvements each year.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</w:tbl>
    <w:p>
      <w:r>
        <w:rPr>
          <w:color w:val="000000"/>
        </w:rPr>
      </w:r>
    </w:p>
    <w:p>
      <w:pPr>
        <w:pStyle w:val="Heading1"/>
        <w:keepNext/>
        <w:spacing w:after="120"/>
      </w:pPr>
      <w:r>
        <w:rPr>
          <w:rFonts w:ascii="Aptos Display" w:hAnsi="Aptos Display"/>
          <w:b/>
          <w:color w:val="000000"/>
          <w:sz w:val="32"/>
        </w:rPr>
        <w:t>Score 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2"/>
        <w:gridCol w:w="2015"/>
        <w:gridCol w:w="2015"/>
      </w:tblGrid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/>
                <w:color w:val="000000"/>
                <w:sz w:val="15"/>
              </w:rPr>
              <w:t>Domain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/>
                <w:color w:val="000000"/>
                <w:sz w:val="15"/>
              </w:rPr>
              <w:t>Score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/>
                <w:color w:val="000000"/>
                <w:sz w:val="15"/>
              </w:rPr>
              <w:t>Maximum</w:t>
            </w:r>
          </w:p>
        </w:tc>
      </w:tr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A  Structure and Documentation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rial" w:hAnsi="Arial"/>
                <w:b w:val="0"/>
                <w:color w:val="000000"/>
                <w:sz w:val="15"/>
              </w:rPr>
              <w:t>5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15</w:t>
            </w:r>
          </w:p>
        </w:tc>
      </w:tr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B  Leadership Selection and Access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rial" w:hAnsi="Arial"/>
                <w:b w:val="0"/>
                <w:color w:val="000000"/>
                <w:sz w:val="15"/>
              </w:rPr>
              <w:t>12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18</w:t>
            </w:r>
          </w:p>
        </w:tc>
      </w:tr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C  Decision Making Transparency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rial" w:hAnsi="Arial"/>
                <w:b w:val="0"/>
                <w:color w:val="000000"/>
                <w:sz w:val="15"/>
              </w:rPr>
              <w:t>8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15</w:t>
            </w:r>
          </w:p>
        </w:tc>
      </w:tr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D  Member Voice and Accountability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rial" w:hAnsi="Arial"/>
                <w:b w:val="0"/>
                <w:color w:val="000000"/>
                <w:sz w:val="15"/>
              </w:rPr>
              <w:t>10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15</w:t>
            </w:r>
          </w:p>
        </w:tc>
      </w:tr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E  Continuity and Improvement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rial" w:hAnsi="Arial"/>
                <w:b w:val="0"/>
                <w:color w:val="000000"/>
                <w:sz w:val="15"/>
              </w:rPr>
              <w:t>6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12</w:t>
            </w:r>
          </w:p>
        </w:tc>
      </w:tr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/>
                <w:color w:val="000000"/>
                <w:sz w:val="15"/>
              </w:rPr>
              <w:t>Total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rial" w:hAnsi="Arial"/>
                <w:b/>
                <w:color w:val="000000"/>
                <w:sz w:val="15"/>
              </w:rPr>
              <w:t>41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/>
                <w:color w:val="000000"/>
                <w:sz w:val="15"/>
              </w:rPr>
              <w:t>75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592"/>
        <w:gridCol w:w="7632"/>
      </w:tblGrid>
      <w:tr>
        <w:trPr>
          <w:cantSplit/>
        </w:trPr>
        <w:tc>
          <w:tcPr>
            <w:tcW w:type="dxa" w:w="216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Score</w:t>
            </w:r>
          </w:p>
        </w:tc>
        <w:tc>
          <w:tcPr>
            <w:tcW w:type="dxa" w:w="259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Level</w:t>
            </w:r>
          </w:p>
        </w:tc>
        <w:tc>
          <w:tcPr>
            <w:tcW w:type="dxa" w:w="76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Meaning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60–75</w:t>
            </w:r>
          </w:p>
        </w:tc>
        <w:tc>
          <w:tcPr>
            <w:tcW w:type="dxa" w:w="259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Strong</w:t>
            </w:r>
          </w:p>
        </w:tc>
        <w:tc>
          <w:tcPr>
            <w:tcW w:type="dxa" w:w="76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Practices are documented, accessible, and consistently applied.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45–59</w:t>
            </w:r>
          </w:p>
        </w:tc>
        <w:tc>
          <w:tcPr>
            <w:tcW w:type="dxa" w:w="259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Established</w:t>
            </w:r>
          </w:p>
        </w:tc>
        <w:tc>
          <w:tcPr>
            <w:tcW w:type="dxa" w:w="76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Core practices exist, with several gaps in access or consistency.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30–44</w:t>
            </w:r>
          </w:p>
        </w:tc>
        <w:tc>
          <w:tcPr>
            <w:tcW w:type="dxa" w:w="259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Developing</w:t>
            </w:r>
          </w:p>
        </w:tc>
        <w:tc>
          <w:tcPr>
            <w:tcW w:type="dxa" w:w="76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Some practices exist, but many remain informal or incomplete.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0–29</w:t>
            </w:r>
          </w:p>
        </w:tc>
        <w:tc>
          <w:tcPr>
            <w:tcW w:type="dxa" w:w="259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Limited evidence</w:t>
            </w:r>
          </w:p>
        </w:tc>
        <w:tc>
          <w:tcPr>
            <w:tcW w:type="dxa" w:w="76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Few governance practices can be verified through accessible evidence.</w:t>
            </w:r>
          </w:p>
        </w:tc>
      </w:tr>
    </w:tbl>
    <w:p>
      <w:pPr>
        <w:spacing w:before="140" w:after="160"/>
      </w:pPr>
      <w:r>
        <w:rPr>
          <w:i/>
          <w:color w:val="000000"/>
          <w:sz w:val="17"/>
        </w:rPr>
        <w:t>Interpretation: The score measures the transparency and consistency of governance procedures. It does not determine whether an organization or its leaders are good or bad.</w:t>
      </w:r>
    </w:p>
    <w:p>
      <w:pPr>
        <w:keepNext/>
        <w:spacing w:before="160" w:after="80"/>
      </w:pPr>
      <w:r>
        <w:rPr>
          <w:b/>
          <w:color w:val="000000"/>
          <w:sz w:val="24"/>
        </w:rPr>
        <w:t>Overall Findings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9792"/>
      </w:tblGrid>
      <w:tr>
        <w:trPr>
          <w:cantSplit/>
        </w:trPr>
        <w:tc>
          <w:tcPr>
            <w:tcW w:type="dxa" w:w="25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6"/>
              </w:rPr>
            </w:r>
            <w:r>
              <w:rPr>
                <w:rFonts w:ascii="Aptos" w:hAnsi="Aptos"/>
                <w:b/>
                <w:color w:val="000000"/>
                <w:sz w:val="16"/>
              </w:rPr>
              <w:t>Overall assessment</w:t>
            </w:r>
          </w:p>
        </w:tc>
        <w:tc>
          <w:tcPr>
            <w:tcW w:type="dxa" w:w="97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sz w:val="16"/>
              </w:rPr>
            </w:r>
            <w:r>
              <w:rPr>
                <w:rFonts w:ascii="Arial" w:hAnsi="Arial"/>
                <w:b w:val="0"/>
                <w:color w:val="000000"/>
                <w:sz w:val="16"/>
              </w:rPr>
              <w:t>Developing (41/75). Psychology Club has comparatively strong participation, communication, and leadership development, while documentation and continuity remain weak.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6"/>
              </w:rPr>
            </w:r>
            <w:r>
              <w:rPr>
                <w:rFonts w:ascii="Aptos" w:hAnsi="Aptos"/>
                <w:b/>
                <w:color w:val="000000"/>
                <w:sz w:val="16"/>
              </w:rPr>
              <w:t>Strongest practices</w:t>
            </w:r>
          </w:p>
        </w:tc>
        <w:tc>
          <w:tcPr>
            <w:tcW w:type="dxa" w:w="97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sz w:val="16"/>
              </w:rPr>
            </w:r>
            <w:r>
              <w:rPr>
                <w:rFonts w:ascii="Arial" w:hAnsi="Arial"/>
                <w:b w:val="0"/>
                <w:color w:val="000000"/>
                <w:sz w:val="16"/>
              </w:rPr>
              <w:t>Established shadow-officer program; open leadership announcements; written application criteria; member consultation; explanations of major decisions; anonymous feedback.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6"/>
              </w:rPr>
            </w:r>
            <w:r>
              <w:rPr>
                <w:rFonts w:ascii="Aptos" w:hAnsi="Aptos"/>
                <w:b/>
                <w:color w:val="000000"/>
                <w:sz w:val="16"/>
              </w:rPr>
              <w:t>Priority gaps</w:t>
            </w:r>
          </w:p>
        </w:tc>
        <w:tc>
          <w:tcPr>
            <w:tcW w:type="dxa" w:w="97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sz w:val="16"/>
              </w:rPr>
            </w:r>
            <w:r>
              <w:rPr>
                <w:rFonts w:ascii="Arial" w:hAnsi="Arial"/>
                <w:b w:val="0"/>
                <w:color w:val="000000"/>
                <w:sz w:val="16"/>
              </w:rPr>
              <w:t>No central record system; no formal governance review; broad rather than role-specific officer responsibilities; no conflict-of-interest rule.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6"/>
              </w:rPr>
            </w:r>
            <w:r>
              <w:rPr>
                <w:rFonts w:ascii="Aptos" w:hAnsi="Aptos"/>
                <w:b/>
                <w:color w:val="000000"/>
                <w:sz w:val="16"/>
              </w:rPr>
              <w:t>Recommended next step</w:t>
            </w:r>
          </w:p>
        </w:tc>
        <w:tc>
          <w:tcPr>
            <w:tcW w:type="dxa" w:w="97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sz w:val="16"/>
              </w:rPr>
            </w:r>
            <w:r>
              <w:rPr>
                <w:rFonts w:ascii="Arial" w:hAnsi="Arial"/>
                <w:b w:val="0"/>
                <w:color w:val="000000"/>
                <w:sz w:val="16"/>
              </w:rPr>
              <w:t>Preserve the club’s participatory culture while documenting officer roles, storing records centrally, and reviewing governance once each year.</w:t>
            </w:r>
          </w:p>
        </w:tc>
      </w:tr>
    </w:tbl>
    <w:p>
      <w:pPr>
        <w:spacing w:after="60"/>
      </w:pPr>
      <w:r>
        <w:rPr>
          <w:rFonts w:ascii="Arial" w:hAnsi="Arial"/>
          <w:color w:val="000000"/>
          <w:sz w:val="16"/>
        </w:rPr>
        <w:t>Psychology Club performs better than a largely informal club because members are consulted, decisions receive brief explanations, selection criteria appear in the application, and shadow officers have a defined training pathway. Its weaknesses are concentrated in institutional memory: records are not centrally stored, officer duties remain broad, and governance changes are not reviewed annually.</w:t>
      </w:r>
    </w:p>
    <w:p>
      <w:pPr>
        <w:keepNext/>
        <w:spacing w:before="100" w:after="80"/>
      </w:pPr>
      <w:r>
        <w:rPr>
          <w:b/>
          <w:color w:val="000000"/>
          <w:sz w:val="24"/>
        </w:rPr>
        <w:t>Evidence and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4608"/>
        <w:gridCol w:w="6480"/>
      </w:tblGrid>
      <w:tr>
        <w:trPr>
          <w:cantSplit/>
        </w:trPr>
        <w:tc>
          <w:tcPr>
            <w:tcW w:type="dxa" w:w="129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Item</w:t>
            </w:r>
          </w:p>
        </w:tc>
        <w:tc>
          <w:tcPr>
            <w:tcW w:type="dxa" w:w="460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Evidence reviewed</w:t>
            </w:r>
          </w:p>
        </w:tc>
        <w:tc>
          <w:tcPr>
            <w:tcW w:type="dxa" w:w="648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Finding or note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rial" w:hAnsi="Arial"/>
                <w:b/>
                <w:color w:val="000000"/>
                <w:sz w:val="14"/>
              </w:rPr>
              <w:t>A1-A5</w:t>
            </w:r>
          </w:p>
        </w:tc>
        <w:tc>
          <w:tcPr>
            <w:tcW w:type="dxa" w:w="460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Mission; five officers; three shadow officers; faculty mentorship</w:t>
            </w:r>
          </w:p>
        </w:tc>
        <w:tc>
          <w:tcPr>
            <w:tcW w:type="dxa" w:w="648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The mission and the distinction between officers and shadow officers are understood. Officers and shadows have different developmental roles, but individual officer portfolios and governing documents are not formally accessible.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rial" w:hAnsi="Arial"/>
                <w:b/>
                <w:color w:val="000000"/>
                <w:sz w:val="14"/>
              </w:rPr>
              <w:t>B6-B11</w:t>
            </w:r>
          </w:p>
        </w:tc>
        <w:tc>
          <w:tcPr>
            <w:tcW w:type="dxa" w:w="460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Open announcements; written applications; shadow-officer pathway</w:t>
            </w:r>
          </w:p>
        </w:tc>
        <w:tc>
          <w:tcPr>
            <w:tcW w:type="dxa" w:w="648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Openings are announced in meetings and the member group chat. Selection priorities are written in the application, and the current shadow-officer program gives members a visible route into leadership. No conflict-of-interest rule is used.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rial" w:hAnsi="Arial"/>
                <w:b/>
                <w:color w:val="000000"/>
                <w:sz w:val="14"/>
              </w:rPr>
              <w:t>C12-C16</w:t>
            </w:r>
          </w:p>
        </w:tc>
        <w:tc>
          <w:tcPr>
            <w:tcW w:type="dxa" w:w="460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Officer discussion; member consultation; group-chat communication</w:t>
            </w:r>
          </w:p>
        </w:tc>
        <w:tc>
          <w:tcPr>
            <w:tcW w:type="dxa" w:w="648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Officers consult members before major decisions, communicate outcomes in meetings and group chats, and provide brief reasons. The club does not consistently record decisions or publish criteria for limited opportunities.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rial" w:hAnsi="Arial"/>
                <w:b/>
                <w:color w:val="000000"/>
                <w:sz w:val="14"/>
              </w:rPr>
              <w:t>D17-D21</w:t>
            </w:r>
          </w:p>
        </w:tc>
        <w:tc>
          <w:tcPr>
            <w:tcW w:type="dxa" w:w="460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Anonymous form; direct officer contact; review requests</w:t>
            </w:r>
          </w:p>
        </w:tc>
        <w:tc>
          <w:tcPr>
            <w:tcW w:type="dxa" w:w="648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Members can raise concerns anonymously or directly and may request reconsideration. Officers address underperformance collectively, although the response and accountability procedures are not formally documented.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rial" w:hAnsi="Arial"/>
                <w:b/>
                <w:color w:val="000000"/>
                <w:sz w:val="14"/>
              </w:rPr>
              <w:t>E22-E25</w:t>
            </w:r>
          </w:p>
        </w:tc>
        <w:tc>
          <w:tcPr>
            <w:tcW w:type="dxa" w:w="460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Active shadow-officer training; annual feedback</w:t>
            </w:r>
          </w:p>
        </w:tc>
        <w:tc>
          <w:tcPr>
            <w:tcW w:type="dxa" w:w="648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Leadership transition is a relative strength because shadow officers participate directly before taking office. Annual feedback is guaranteed, but the lack of shared storage and a formal yearly governance review weakens continuity.</w:t>
            </w:r>
          </w:p>
        </w:tc>
      </w:tr>
    </w:tbl>
    <w:p>
      <w:pPr>
        <w:keepNext/>
        <w:spacing w:before="160" w:after="80"/>
      </w:pPr>
      <w:r>
        <w:rPr>
          <w:b/>
          <w:color w:val="000000"/>
          <w:sz w:val="24"/>
        </w:rPr>
        <w:t>Priority Improvement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3528"/>
        <w:gridCol w:w="3528"/>
        <w:gridCol w:w="2232"/>
        <w:gridCol w:w="2232"/>
      </w:tblGrid>
      <w:tr>
        <w:trPr>
          <w:cantSplit/>
        </w:trPr>
        <w:tc>
          <w:tcPr>
            <w:tcW w:type="dxa" w:w="93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Priority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Governance gap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Planned action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Responsible person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Target date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1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Important files are not stored centrally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Create a shared governance folder containing the mission, applications, meeting records, feedback summaries, and transition materials.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Designated officer and faculty mentor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End of Semester 1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2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Roles and leadership selection remain informal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Publish officer and shadow-officer responsibilities, selection criteria, a standard rubric, and a conflict-of-interest rule.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Current officers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Before next selection cycle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3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Governance improvements are not reviewed or recorded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Complete a short annual governance review and maintain a change log showing concerns, actions, and results.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Officer team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May 2027</w:t>
            </w:r>
          </w:p>
        </w:tc>
      </w:tr>
    </w:tbl>
    <w:p>
      <w:pPr>
        <w:spacing w:before="160" w:after="0"/>
      </w:pPr>
      <w:r>
        <w:rPr>
          <w:rFonts w:ascii="Arial" w:hAnsi="Arial"/>
          <w:color w:val="000000"/>
          <w:sz w:val="18"/>
        </w:rPr>
        <w:t>Follow-up review date: May 2027     Reviewer: MiraeBiz     New score: ______ / 75</w:t>
      </w:r>
    </w:p>
    <w:sectPr w:rsidR="00FC693F" w:rsidRPr="0006063C" w:rsidSect="00034616">
      <w:footerReference w:type="default" r:id="rId9"/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5"/>
      </w:rPr>
      <w:t>MiraeBiz School Club Governance Transparency Audit  |  Psychology Club Completed Audit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MiraeBiz Psychology Club Governance Transparency Audit</dc:title>
  <dc:subject>Completed school club governance transparency audit for Psychology Club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